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C6" w:rsidRDefault="00677EC6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555A" w:rsidRDefault="00677EC6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EC3BDB">
        <w:rPr>
          <w:rFonts w:ascii="Times New Roman" w:hAnsi="Times New Roman" w:cs="Times New Roman"/>
          <w:b/>
          <w:sz w:val="24"/>
          <w:szCs w:val="24"/>
        </w:rPr>
        <w:t>M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XIX</w:t>
      </w:r>
      <w:r w:rsidR="00F946A4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3609C">
        <w:rPr>
          <w:rFonts w:ascii="Times New Roman" w:hAnsi="Times New Roman" w:cs="Times New Roman"/>
          <w:b/>
          <w:sz w:val="24"/>
          <w:szCs w:val="24"/>
        </w:rPr>
        <w:t>_TEPLO Kyjov, spol. s r.o.</w:t>
      </w:r>
      <w:r w:rsidR="00520DE9">
        <w:rPr>
          <w:rFonts w:ascii="Times New Roman" w:hAnsi="Times New Roman" w:cs="Times New Roman"/>
          <w:b/>
          <w:sz w:val="24"/>
          <w:szCs w:val="24"/>
        </w:rPr>
        <w:t xml:space="preserve"> – změna zakladatelské listiny</w:t>
      </w:r>
      <w:r w:rsidR="00B6323F">
        <w:rPr>
          <w:rFonts w:ascii="Times New Roman" w:hAnsi="Times New Roman" w:cs="Times New Roman"/>
          <w:b/>
          <w:sz w:val="24"/>
          <w:szCs w:val="24"/>
        </w:rPr>
        <w:t xml:space="preserve"> TEPLO Kyjov, spol. s r.</w:t>
      </w:r>
      <w:proofErr w:type="gramStart"/>
      <w:r w:rsidR="00B6323F">
        <w:rPr>
          <w:rFonts w:ascii="Times New Roman" w:hAnsi="Times New Roman" w:cs="Times New Roman"/>
          <w:b/>
          <w:sz w:val="24"/>
          <w:szCs w:val="24"/>
        </w:rPr>
        <w:t>o.</w:t>
      </w:r>
      <w:r w:rsidR="00445309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08.09</w:t>
      </w:r>
      <w:r w:rsidR="00B3609C">
        <w:rPr>
          <w:rFonts w:ascii="Times New Roman" w:hAnsi="Times New Roman" w:cs="Times New Roman"/>
          <w:b/>
          <w:sz w:val="24"/>
          <w:szCs w:val="24"/>
        </w:rPr>
        <w:t>.2025</w:t>
      </w:r>
      <w:proofErr w:type="gramEnd"/>
    </w:p>
    <w:p w:rsidR="00F946A4" w:rsidRDefault="00677EC6" w:rsidP="00AB1EFB">
      <w:pPr>
        <w:spacing w:after="60" w:line="271" w:lineRule="auto"/>
        <w:jc w:val="center"/>
        <w:rPr>
          <w:b/>
          <w:sz w:val="28"/>
          <w:szCs w:val="28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4700270</wp:posOffset>
            </wp:positionH>
            <wp:positionV relativeFrom="paragraph">
              <wp:posOffset>196215</wp:posOffset>
            </wp:positionV>
            <wp:extent cx="547370" cy="648970"/>
            <wp:effectExtent l="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EC6" w:rsidRDefault="00677EC6" w:rsidP="00AB1EFB">
      <w:pPr>
        <w:spacing w:after="0"/>
        <w:ind w:hanging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E3651" w:rsidRDefault="00677EC6" w:rsidP="00AB1EFB">
      <w:pPr>
        <w:spacing w:after="0"/>
        <w:ind w:hanging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Materiál pro Zastupitelstvo</w:t>
      </w:r>
      <w:r w:rsidR="00F946A4" w:rsidRPr="00F946A4"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233FDA" w:rsidRDefault="00233FDA" w:rsidP="000D0759">
      <w:pPr>
        <w:spacing w:after="60" w:line="271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Pr="00B6323F" w:rsidRDefault="00B84E97" w:rsidP="000D0759">
      <w:pPr>
        <w:spacing w:after="60" w:line="271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 w:rsidR="00466230">
        <w:rPr>
          <w:rFonts w:ascii="Times New Roman" w:hAnsi="Times New Roman" w:cs="Times New Roman"/>
          <w:sz w:val="24"/>
          <w:szCs w:val="24"/>
        </w:rPr>
        <w:tab/>
      </w:r>
      <w:r w:rsidR="00B3609C">
        <w:rPr>
          <w:rFonts w:ascii="Times New Roman" w:hAnsi="Times New Roman" w:cs="Times New Roman"/>
          <w:sz w:val="24"/>
          <w:szCs w:val="24"/>
        </w:rPr>
        <w:t>TEPLO Kyjov, spol. s r.o.</w:t>
      </w:r>
      <w:r w:rsidR="00520DE9" w:rsidRPr="00520DE9">
        <w:rPr>
          <w:rFonts w:ascii="Times New Roman" w:hAnsi="Times New Roman" w:cs="Times New Roman"/>
          <w:sz w:val="24"/>
          <w:szCs w:val="24"/>
        </w:rPr>
        <w:t xml:space="preserve"> – změna zakladatelské listiny</w:t>
      </w:r>
      <w:r w:rsidR="00340264">
        <w:rPr>
          <w:rFonts w:ascii="Times New Roman" w:hAnsi="Times New Roman" w:cs="Times New Roman"/>
          <w:sz w:val="24"/>
          <w:szCs w:val="24"/>
        </w:rPr>
        <w:t xml:space="preserve"> </w:t>
      </w:r>
      <w:r w:rsidR="00B6323F" w:rsidRPr="00B6323F">
        <w:rPr>
          <w:rFonts w:ascii="Times New Roman" w:hAnsi="Times New Roman" w:cs="Times New Roman"/>
          <w:sz w:val="24"/>
          <w:szCs w:val="24"/>
        </w:rPr>
        <w:t>TEPLO Kyjov, spol. s r.o.</w:t>
      </w:r>
    </w:p>
    <w:p w:rsidR="00B84E97" w:rsidRDefault="00B84E97" w:rsidP="000D0759">
      <w:pPr>
        <w:spacing w:after="60" w:line="271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677EC6">
        <w:rPr>
          <w:rFonts w:ascii="Times New Roman" w:hAnsi="Times New Roman" w:cs="Times New Roman"/>
          <w:sz w:val="24"/>
          <w:szCs w:val="24"/>
        </w:rPr>
        <w:t>Rada města Kyjova</w:t>
      </w:r>
    </w:p>
    <w:p w:rsidR="00B84E97" w:rsidRDefault="00A109B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</w:r>
      <w:r w:rsidR="00B3609C">
        <w:rPr>
          <w:rFonts w:ascii="Times New Roman" w:hAnsi="Times New Roman" w:cs="Times New Roman"/>
          <w:sz w:val="24"/>
          <w:szCs w:val="24"/>
        </w:rPr>
        <w:t xml:space="preserve">Mgr. </w:t>
      </w:r>
      <w:r w:rsidR="00677EC6">
        <w:rPr>
          <w:rFonts w:ascii="Times New Roman" w:hAnsi="Times New Roman" w:cs="Times New Roman"/>
          <w:sz w:val="24"/>
          <w:szCs w:val="24"/>
        </w:rPr>
        <w:t>Eva Fialíková</w:t>
      </w:r>
      <w:r w:rsidR="00F946A4">
        <w:rPr>
          <w:rFonts w:ascii="Times New Roman" w:hAnsi="Times New Roman" w:cs="Times New Roman"/>
          <w:sz w:val="24"/>
          <w:szCs w:val="24"/>
        </w:rPr>
        <w:t>, o</w:t>
      </w:r>
      <w:r w:rsidR="00A53A15">
        <w:rPr>
          <w:rFonts w:ascii="Times New Roman" w:hAnsi="Times New Roman" w:cs="Times New Roman"/>
          <w:sz w:val="24"/>
          <w:szCs w:val="24"/>
        </w:rPr>
        <w:t>dbor</w:t>
      </w:r>
      <w:r w:rsidR="00F946A4">
        <w:rPr>
          <w:rFonts w:ascii="Times New Roman" w:hAnsi="Times New Roman" w:cs="Times New Roman"/>
          <w:sz w:val="24"/>
          <w:szCs w:val="24"/>
        </w:rPr>
        <w:t xml:space="preserve"> majetkoprávní</w:t>
      </w:r>
      <w:r w:rsidR="00A109B8">
        <w:rPr>
          <w:rFonts w:ascii="Times New Roman" w:hAnsi="Times New Roman" w:cs="Times New Roman"/>
          <w:sz w:val="24"/>
          <w:szCs w:val="24"/>
        </w:rPr>
        <w:tab/>
      </w:r>
    </w:p>
    <w:p w:rsidR="00F946A4" w:rsidRDefault="00F946A4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 w:rsidRPr="00954FE9"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 w:rsidRPr="00954F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77EC6">
        <w:rPr>
          <w:rFonts w:ascii="Times New Roman" w:hAnsi="Times New Roman" w:cs="Times New Roman"/>
          <w:sz w:val="24"/>
          <w:szCs w:val="24"/>
        </w:rPr>
        <w:t>28</w:t>
      </w:r>
      <w:r w:rsidR="006C6430">
        <w:rPr>
          <w:rFonts w:ascii="Times New Roman" w:hAnsi="Times New Roman" w:cs="Times New Roman"/>
          <w:sz w:val="24"/>
          <w:szCs w:val="24"/>
        </w:rPr>
        <w:t>.</w:t>
      </w:r>
      <w:r w:rsidR="00677EC6">
        <w:rPr>
          <w:rFonts w:ascii="Times New Roman" w:hAnsi="Times New Roman" w:cs="Times New Roman"/>
          <w:sz w:val="24"/>
          <w:szCs w:val="24"/>
        </w:rPr>
        <w:t>0</w:t>
      </w:r>
      <w:r w:rsidR="006C6430">
        <w:rPr>
          <w:rFonts w:ascii="Times New Roman" w:hAnsi="Times New Roman" w:cs="Times New Roman"/>
          <w:sz w:val="24"/>
          <w:szCs w:val="24"/>
        </w:rPr>
        <w:t>8.2025</w:t>
      </w:r>
      <w:proofErr w:type="gramEnd"/>
    </w:p>
    <w:p w:rsidR="00B84E97" w:rsidRDefault="00B84E97" w:rsidP="000D0759">
      <w:pPr>
        <w:spacing w:after="60" w:line="271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677EC6">
      <w:pPr>
        <w:spacing w:after="120" w:line="360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0D0759" w:rsidRPr="00A109B8" w:rsidRDefault="00B96FBB" w:rsidP="00677EC6">
      <w:pPr>
        <w:pStyle w:val="Odstavecseseznamem"/>
        <w:spacing w:after="12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6FBB">
        <w:rPr>
          <w:rFonts w:ascii="Times New Roman" w:hAnsi="Times New Roman" w:cs="Times New Roman"/>
          <w:i/>
          <w:sz w:val="24"/>
          <w:szCs w:val="24"/>
        </w:rPr>
        <w:t>Zastupitelstvo města Kyjova, po projednání a v souladu s</w:t>
      </w:r>
      <w:r w:rsidR="006C6430">
        <w:rPr>
          <w:rFonts w:ascii="Times New Roman" w:hAnsi="Times New Roman" w:cs="Times New Roman"/>
          <w:i/>
          <w:sz w:val="24"/>
          <w:szCs w:val="24"/>
        </w:rPr>
        <w:t xml:space="preserve"> ustanovením § 84 odst. 2 písm. </w:t>
      </w:r>
      <w:r w:rsidRPr="00B96FBB">
        <w:rPr>
          <w:rFonts w:ascii="Times New Roman" w:hAnsi="Times New Roman" w:cs="Times New Roman"/>
          <w:i/>
          <w:sz w:val="24"/>
          <w:szCs w:val="24"/>
        </w:rPr>
        <w:t>e)  zákona č. 128/2000 Sb., o obcích (obecní zřízení), ve znění pozdějších předpisů, rozhodlo o schválení nového znění zakladatelské listiny společnosti TEPLO Kyjov, spol. s r.o., IČ: 25315897, se sídlem Svatoborská 27, 697 01 Kyjov</w:t>
      </w:r>
      <w:r w:rsidR="00677EC6">
        <w:rPr>
          <w:rFonts w:ascii="Times New Roman" w:hAnsi="Times New Roman" w:cs="Times New Roman"/>
          <w:i/>
          <w:sz w:val="24"/>
          <w:szCs w:val="24"/>
        </w:rPr>
        <w:t>, v předloženém znění</w:t>
      </w:r>
      <w:r w:rsidR="006C6430">
        <w:rPr>
          <w:rFonts w:ascii="Times New Roman" w:hAnsi="Times New Roman" w:cs="Times New Roman"/>
          <w:i/>
          <w:sz w:val="24"/>
          <w:szCs w:val="24"/>
        </w:rPr>
        <w:t>.</w:t>
      </w:r>
    </w:p>
    <w:p w:rsidR="00677EC6" w:rsidRDefault="00677EC6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5398" w:rsidRDefault="00325398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D10EAD" w:rsidRDefault="00D10EAD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Město Kyjov je jediným společníkem a zakladatelem spo</w:t>
      </w:r>
      <w:r w:rsidR="00B3609C">
        <w:rPr>
          <w:rFonts w:ascii="Times New Roman" w:hAnsi="Times New Roman" w:cs="Times New Roman"/>
          <w:sz w:val="24"/>
          <w:szCs w:val="24"/>
        </w:rPr>
        <w:t>lečnosti TEPLO Kyjov, spol. s r.o.</w:t>
      </w:r>
    </w:p>
    <w:p w:rsidR="00D10EAD" w:rsidRDefault="00D10EAD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Jejími orgány jsou valná hromada, jejíž funkci vykonává v jednočlenné společnosti </w:t>
      </w:r>
      <w:r w:rsidR="00B3609C">
        <w:rPr>
          <w:rFonts w:ascii="Times New Roman" w:hAnsi="Times New Roman" w:cs="Times New Roman"/>
          <w:sz w:val="24"/>
          <w:szCs w:val="24"/>
        </w:rPr>
        <w:t>Rada města Kyjova, jednatel</w:t>
      </w:r>
      <w:r>
        <w:rPr>
          <w:rFonts w:ascii="Times New Roman" w:hAnsi="Times New Roman" w:cs="Times New Roman"/>
          <w:sz w:val="24"/>
          <w:szCs w:val="24"/>
        </w:rPr>
        <w:t xml:space="preserve"> a dozorčí rada. </w:t>
      </w:r>
    </w:p>
    <w:p w:rsidR="00D10EAD" w:rsidRDefault="00B3609C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Navrhuje se </w:t>
      </w:r>
      <w:r w:rsidR="00AC0046">
        <w:rPr>
          <w:rFonts w:ascii="Times New Roman" w:hAnsi="Times New Roman" w:cs="Times New Roman"/>
          <w:sz w:val="24"/>
          <w:szCs w:val="24"/>
        </w:rPr>
        <w:t>celková revize zakladatelské listiny z roku 2014 tak, aby odpovídala současnému stavu a právnímu řádu. Jednou ze změn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AC0046">
        <w:rPr>
          <w:rFonts w:ascii="Times New Roman" w:hAnsi="Times New Roman" w:cs="Times New Roman"/>
          <w:sz w:val="24"/>
          <w:szCs w:val="24"/>
        </w:rPr>
        <w:t>akladatelské listiny bude to</w:t>
      </w:r>
      <w:r>
        <w:rPr>
          <w:rFonts w:ascii="Times New Roman" w:hAnsi="Times New Roman" w:cs="Times New Roman"/>
          <w:sz w:val="24"/>
          <w:szCs w:val="24"/>
        </w:rPr>
        <w:t>, že jméno jednatele</w:t>
      </w:r>
      <w:r w:rsidR="00B96FBB">
        <w:rPr>
          <w:rFonts w:ascii="Times New Roman" w:hAnsi="Times New Roman" w:cs="Times New Roman"/>
          <w:sz w:val="24"/>
          <w:szCs w:val="24"/>
        </w:rPr>
        <w:t xml:space="preserve"> společnosti</w:t>
      </w:r>
      <w:r>
        <w:rPr>
          <w:rFonts w:ascii="Times New Roman" w:hAnsi="Times New Roman" w:cs="Times New Roman"/>
          <w:sz w:val="24"/>
          <w:szCs w:val="24"/>
        </w:rPr>
        <w:t xml:space="preserve"> bude ze zakladatelské listiny vypuštěno, aby při další případné změně jednatele, nebylo nutné měnit také zakladatelskou listinu.</w:t>
      </w:r>
      <w:r w:rsidR="00B96FBB">
        <w:rPr>
          <w:rFonts w:ascii="Times New Roman" w:hAnsi="Times New Roman" w:cs="Times New Roman"/>
          <w:sz w:val="24"/>
          <w:szCs w:val="24"/>
        </w:rPr>
        <w:t xml:space="preserve"> Dále se navrhuje změna</w:t>
      </w:r>
      <w:r w:rsidR="00677EC6">
        <w:rPr>
          <w:rFonts w:ascii="Times New Roman" w:hAnsi="Times New Roman" w:cs="Times New Roman"/>
          <w:sz w:val="24"/>
          <w:szCs w:val="24"/>
        </w:rPr>
        <w:t xml:space="preserve"> zakladatelské listiny v části, která</w:t>
      </w:r>
      <w:r w:rsidR="00B96FBB">
        <w:rPr>
          <w:rFonts w:ascii="Times New Roman" w:hAnsi="Times New Roman" w:cs="Times New Roman"/>
          <w:sz w:val="24"/>
          <w:szCs w:val="24"/>
        </w:rPr>
        <w:t xml:space="preserve"> upravuje předmět podnikání společnosti, tak aby došlo k souladu se zněním zakladatelské listiny a příslušnými živnostenskými oprávněními udělenými společnosti. </w:t>
      </w:r>
      <w:r w:rsidR="00AC0046">
        <w:rPr>
          <w:rFonts w:ascii="Times New Roman" w:hAnsi="Times New Roman" w:cs="Times New Roman"/>
          <w:sz w:val="24"/>
          <w:szCs w:val="24"/>
        </w:rPr>
        <w:t>Dojde k úpravě výše základního kapitálu tak, aby odpovídal zápisu v obchodním rejstříku. A v neposlední řadě bude v zakladatelské listině zakotveno i pracovní místo ředitele a popis jeho činností.</w:t>
      </w:r>
    </w:p>
    <w:p w:rsidR="006C6430" w:rsidRDefault="006C6430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změnu zakladatelské listiny je nutná forma notářského zápisu.</w:t>
      </w:r>
    </w:p>
    <w:p w:rsidR="00D10EAD" w:rsidRDefault="00B96FBB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podobě návrhu</w:t>
      </w:r>
      <w:r w:rsidR="00D10EAD">
        <w:rPr>
          <w:rFonts w:ascii="Times New Roman" w:hAnsi="Times New Roman" w:cs="Times New Roman"/>
          <w:sz w:val="24"/>
          <w:szCs w:val="24"/>
        </w:rPr>
        <w:t xml:space="preserve"> usnesení </w:t>
      </w:r>
      <w:r>
        <w:rPr>
          <w:rFonts w:ascii="Times New Roman" w:hAnsi="Times New Roman" w:cs="Times New Roman"/>
          <w:sz w:val="24"/>
          <w:szCs w:val="24"/>
        </w:rPr>
        <w:t xml:space="preserve">a revizi zakladatelské listiny spolupracovala </w:t>
      </w:r>
      <w:r w:rsidR="00D10EAD">
        <w:rPr>
          <w:rFonts w:ascii="Times New Roman" w:hAnsi="Times New Roman" w:cs="Times New Roman"/>
          <w:sz w:val="24"/>
          <w:szCs w:val="24"/>
        </w:rPr>
        <w:t>notářka Mgr. Pavlína Zugárko</w:t>
      </w:r>
      <w:r>
        <w:rPr>
          <w:rFonts w:ascii="Times New Roman" w:hAnsi="Times New Roman" w:cs="Times New Roman"/>
          <w:sz w:val="24"/>
          <w:szCs w:val="24"/>
        </w:rPr>
        <w:t>vá. Ta bude v případě schválení změn zakladatelské listiny tyto</w:t>
      </w:r>
      <w:r w:rsidR="006C6430">
        <w:rPr>
          <w:rFonts w:ascii="Times New Roman" w:hAnsi="Times New Roman" w:cs="Times New Roman"/>
          <w:sz w:val="24"/>
          <w:szCs w:val="24"/>
        </w:rPr>
        <w:t xml:space="preserve"> změny</w:t>
      </w:r>
      <w:r w:rsidR="00D10EAD">
        <w:rPr>
          <w:rFonts w:ascii="Times New Roman" w:hAnsi="Times New Roman" w:cs="Times New Roman"/>
          <w:sz w:val="24"/>
          <w:szCs w:val="24"/>
        </w:rPr>
        <w:t xml:space="preserve"> realizovat. </w:t>
      </w:r>
    </w:p>
    <w:p w:rsidR="00B3609C" w:rsidRPr="00B96FBB" w:rsidRDefault="00D10EAD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záležitosti změny zakladatelské listiny rozhoduje dle § 84 odst. 2 písm. e) zákona o obcích </w:t>
      </w:r>
      <w:r w:rsidRPr="00B96FBB">
        <w:rPr>
          <w:rFonts w:ascii="Times New Roman" w:hAnsi="Times New Roman" w:cs="Times New Roman"/>
          <w:sz w:val="24"/>
          <w:szCs w:val="24"/>
        </w:rPr>
        <w:t xml:space="preserve">zastupitelstvo města. </w:t>
      </w:r>
    </w:p>
    <w:p w:rsidR="00D10EAD" w:rsidRDefault="00D10EAD" w:rsidP="00AC00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FBB">
        <w:rPr>
          <w:rFonts w:ascii="Times New Roman" w:hAnsi="Times New Roman" w:cs="Times New Roman"/>
          <w:sz w:val="24"/>
          <w:szCs w:val="24"/>
        </w:rPr>
        <w:t>Po kl</w:t>
      </w:r>
      <w:r w:rsidR="00B96FBB" w:rsidRPr="00B96FBB">
        <w:rPr>
          <w:rFonts w:ascii="Times New Roman" w:hAnsi="Times New Roman" w:cs="Times New Roman"/>
          <w:sz w:val="24"/>
          <w:szCs w:val="24"/>
        </w:rPr>
        <w:t xml:space="preserve">adném rozhodnutí zastupitelstva </w:t>
      </w:r>
      <w:r w:rsidRPr="00B96FBB">
        <w:rPr>
          <w:rFonts w:ascii="Times New Roman" w:hAnsi="Times New Roman" w:cs="Times New Roman"/>
          <w:sz w:val="24"/>
          <w:szCs w:val="24"/>
        </w:rPr>
        <w:t>bude rozhodovat dle § 102 odst. 2 písm. c) zákona o obcích také rada města za jediného společníka při výkonu působn</w:t>
      </w:r>
      <w:r w:rsidR="00B96FBB" w:rsidRPr="00B96FBB">
        <w:rPr>
          <w:rFonts w:ascii="Times New Roman" w:hAnsi="Times New Roman" w:cs="Times New Roman"/>
          <w:sz w:val="24"/>
          <w:szCs w:val="24"/>
        </w:rPr>
        <w:t>osti valné hromady společnosti.</w:t>
      </w:r>
    </w:p>
    <w:p w:rsidR="0084341B" w:rsidRDefault="0084341B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BE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66F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Dopad na rozpočet:</w:t>
      </w:r>
    </w:p>
    <w:p w:rsidR="004C66F8" w:rsidRDefault="001A6CC1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dopadu na rozpočet</w:t>
      </w:r>
      <w:r w:rsidR="00743744">
        <w:rPr>
          <w:rFonts w:ascii="Times New Roman" w:hAnsi="Times New Roman" w:cs="Times New Roman"/>
          <w:sz w:val="24"/>
          <w:szCs w:val="24"/>
        </w:rPr>
        <w:t xml:space="preserve"> města</w:t>
      </w:r>
      <w:r w:rsidR="004C66F8">
        <w:rPr>
          <w:rFonts w:ascii="Times New Roman" w:hAnsi="Times New Roman" w:cs="Times New Roman"/>
          <w:sz w:val="24"/>
          <w:szCs w:val="24"/>
        </w:rPr>
        <w:t>.</w:t>
      </w:r>
    </w:p>
    <w:p w:rsidR="004C66F8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E28" w:rsidRDefault="004C66F8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6F8">
        <w:rPr>
          <w:rFonts w:ascii="Times New Roman" w:hAnsi="Times New Roman" w:cs="Times New Roman"/>
          <w:b/>
          <w:sz w:val="24"/>
          <w:szCs w:val="24"/>
          <w:u w:val="single"/>
        </w:rPr>
        <w:t>Přílohy:</w:t>
      </w:r>
      <w:r w:rsidR="00CE0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437" w:rsidRDefault="006C6430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Notářský zápis o schválení nového znění zakladatelské listiny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23.6.2014</w:t>
      </w:r>
      <w:proofErr w:type="gramEnd"/>
    </w:p>
    <w:p w:rsidR="00AC0046" w:rsidRDefault="00AC0046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Koncept nové zakladatelské listiny</w:t>
      </w:r>
      <w:bookmarkStart w:id="0" w:name="_GoBack"/>
      <w:bookmarkEnd w:id="0"/>
    </w:p>
    <w:p w:rsidR="0099714F" w:rsidRDefault="0099714F" w:rsidP="000D0759">
      <w:pPr>
        <w:spacing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714F" w:rsidSect="00441BE3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D5DA3"/>
    <w:multiLevelType w:val="hybridMultilevel"/>
    <w:tmpl w:val="373A3498"/>
    <w:lvl w:ilvl="0" w:tplc="3C223C8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C0CE2"/>
    <w:multiLevelType w:val="hybridMultilevel"/>
    <w:tmpl w:val="F1B09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A75F9"/>
    <w:multiLevelType w:val="hybridMultilevel"/>
    <w:tmpl w:val="78A6D8F8"/>
    <w:lvl w:ilvl="0" w:tplc="D56E7B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D0133"/>
    <w:multiLevelType w:val="hybridMultilevel"/>
    <w:tmpl w:val="0AC0E630"/>
    <w:lvl w:ilvl="0" w:tplc="DC320E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04BDB"/>
    <w:rsid w:val="00035D76"/>
    <w:rsid w:val="0005111E"/>
    <w:rsid w:val="000551FE"/>
    <w:rsid w:val="00063964"/>
    <w:rsid w:val="00066A47"/>
    <w:rsid w:val="000924A5"/>
    <w:rsid w:val="000A4492"/>
    <w:rsid w:val="000C3894"/>
    <w:rsid w:val="000D0759"/>
    <w:rsid w:val="000F1932"/>
    <w:rsid w:val="000F696B"/>
    <w:rsid w:val="00102235"/>
    <w:rsid w:val="0014051F"/>
    <w:rsid w:val="001426D2"/>
    <w:rsid w:val="00173474"/>
    <w:rsid w:val="00186401"/>
    <w:rsid w:val="00191346"/>
    <w:rsid w:val="00197D1C"/>
    <w:rsid w:val="001A6C30"/>
    <w:rsid w:val="001A6CC1"/>
    <w:rsid w:val="001E01CC"/>
    <w:rsid w:val="001F6981"/>
    <w:rsid w:val="00233FDA"/>
    <w:rsid w:val="00234A2B"/>
    <w:rsid w:val="00234BE4"/>
    <w:rsid w:val="00237C57"/>
    <w:rsid w:val="0024342E"/>
    <w:rsid w:val="00257A77"/>
    <w:rsid w:val="00265FA6"/>
    <w:rsid w:val="00294C30"/>
    <w:rsid w:val="002A2A60"/>
    <w:rsid w:val="002C7E7A"/>
    <w:rsid w:val="00325398"/>
    <w:rsid w:val="0032555A"/>
    <w:rsid w:val="00327E45"/>
    <w:rsid w:val="00337EC1"/>
    <w:rsid w:val="00340264"/>
    <w:rsid w:val="003976C3"/>
    <w:rsid w:val="003A11D1"/>
    <w:rsid w:val="003B3F1E"/>
    <w:rsid w:val="003B4492"/>
    <w:rsid w:val="003C6EBA"/>
    <w:rsid w:val="003C7055"/>
    <w:rsid w:val="00407D7B"/>
    <w:rsid w:val="0043645A"/>
    <w:rsid w:val="00441BE3"/>
    <w:rsid w:val="004422B6"/>
    <w:rsid w:val="00445309"/>
    <w:rsid w:val="00466230"/>
    <w:rsid w:val="004936EC"/>
    <w:rsid w:val="004B1D11"/>
    <w:rsid w:val="004B70D0"/>
    <w:rsid w:val="004C66F8"/>
    <w:rsid w:val="004E0C16"/>
    <w:rsid w:val="0050729A"/>
    <w:rsid w:val="005144FC"/>
    <w:rsid w:val="00520DE9"/>
    <w:rsid w:val="005342D1"/>
    <w:rsid w:val="0054238E"/>
    <w:rsid w:val="005B075D"/>
    <w:rsid w:val="005E188D"/>
    <w:rsid w:val="005F1A91"/>
    <w:rsid w:val="005F1D8C"/>
    <w:rsid w:val="005F46F5"/>
    <w:rsid w:val="006630BE"/>
    <w:rsid w:val="00665E0C"/>
    <w:rsid w:val="00677EC6"/>
    <w:rsid w:val="006C6430"/>
    <w:rsid w:val="00714B66"/>
    <w:rsid w:val="00727850"/>
    <w:rsid w:val="0074368B"/>
    <w:rsid w:val="00743744"/>
    <w:rsid w:val="00775552"/>
    <w:rsid w:val="007A0333"/>
    <w:rsid w:val="007C0666"/>
    <w:rsid w:val="007D077B"/>
    <w:rsid w:val="007D3008"/>
    <w:rsid w:val="007F3171"/>
    <w:rsid w:val="0084341B"/>
    <w:rsid w:val="00846D07"/>
    <w:rsid w:val="00864DCE"/>
    <w:rsid w:val="00866A91"/>
    <w:rsid w:val="00871B33"/>
    <w:rsid w:val="008745B3"/>
    <w:rsid w:val="0088112D"/>
    <w:rsid w:val="008A1767"/>
    <w:rsid w:val="008B14C8"/>
    <w:rsid w:val="008B6E3B"/>
    <w:rsid w:val="008D4C3C"/>
    <w:rsid w:val="008D6680"/>
    <w:rsid w:val="008F3D17"/>
    <w:rsid w:val="00923F26"/>
    <w:rsid w:val="0093544E"/>
    <w:rsid w:val="00946801"/>
    <w:rsid w:val="00954340"/>
    <w:rsid w:val="00954E5D"/>
    <w:rsid w:val="00954FE9"/>
    <w:rsid w:val="00974C58"/>
    <w:rsid w:val="00983C53"/>
    <w:rsid w:val="0099714F"/>
    <w:rsid w:val="009B3D76"/>
    <w:rsid w:val="009D52C3"/>
    <w:rsid w:val="009E3651"/>
    <w:rsid w:val="009F1854"/>
    <w:rsid w:val="00A032BF"/>
    <w:rsid w:val="00A048B4"/>
    <w:rsid w:val="00A109B8"/>
    <w:rsid w:val="00A36421"/>
    <w:rsid w:val="00A36EC8"/>
    <w:rsid w:val="00A53A15"/>
    <w:rsid w:val="00A565EF"/>
    <w:rsid w:val="00A63AEA"/>
    <w:rsid w:val="00A8608A"/>
    <w:rsid w:val="00AA4579"/>
    <w:rsid w:val="00AB1EFB"/>
    <w:rsid w:val="00AC0046"/>
    <w:rsid w:val="00B10CDE"/>
    <w:rsid w:val="00B133BD"/>
    <w:rsid w:val="00B16CA0"/>
    <w:rsid w:val="00B23B68"/>
    <w:rsid w:val="00B3609C"/>
    <w:rsid w:val="00B45DF6"/>
    <w:rsid w:val="00B55517"/>
    <w:rsid w:val="00B6323F"/>
    <w:rsid w:val="00B84E97"/>
    <w:rsid w:val="00B96FBB"/>
    <w:rsid w:val="00BF45A5"/>
    <w:rsid w:val="00C04E28"/>
    <w:rsid w:val="00C11658"/>
    <w:rsid w:val="00C50714"/>
    <w:rsid w:val="00C945D6"/>
    <w:rsid w:val="00CA7136"/>
    <w:rsid w:val="00CB372A"/>
    <w:rsid w:val="00CE0437"/>
    <w:rsid w:val="00D10EAD"/>
    <w:rsid w:val="00D13BE8"/>
    <w:rsid w:val="00D223C8"/>
    <w:rsid w:val="00D54097"/>
    <w:rsid w:val="00D90C96"/>
    <w:rsid w:val="00D95217"/>
    <w:rsid w:val="00DB333B"/>
    <w:rsid w:val="00DB7293"/>
    <w:rsid w:val="00DD2FDE"/>
    <w:rsid w:val="00E57E13"/>
    <w:rsid w:val="00E962E3"/>
    <w:rsid w:val="00EC3BDB"/>
    <w:rsid w:val="00EE2F05"/>
    <w:rsid w:val="00EE415A"/>
    <w:rsid w:val="00EF2888"/>
    <w:rsid w:val="00F079CA"/>
    <w:rsid w:val="00F1593F"/>
    <w:rsid w:val="00F2163B"/>
    <w:rsid w:val="00F946A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1910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6FB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109B8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F946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946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57A77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96FBB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Eva Fialíková</cp:lastModifiedBy>
  <cp:revision>3</cp:revision>
  <cp:lastPrinted>2022-02-09T15:11:00Z</cp:lastPrinted>
  <dcterms:created xsi:type="dcterms:W3CDTF">2025-08-28T08:27:00Z</dcterms:created>
  <dcterms:modified xsi:type="dcterms:W3CDTF">2025-08-28T08:37:00Z</dcterms:modified>
</cp:coreProperties>
</file>